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F0079" w:rsidRDefault="00000000">
      <w:pPr>
        <w:spacing w:line="0" w:lineRule="atLeast"/>
        <w:jc w:val="center"/>
        <w:rPr>
          <w:rFonts w:ascii="方正小标宋简体" w:eastAsia="方正小标宋简体"/>
          <w:bCs/>
          <w:color w:val="000000"/>
          <w:sz w:val="44"/>
          <w:szCs w:val="44"/>
        </w:rPr>
      </w:pPr>
      <w:r>
        <w:rPr>
          <w:rFonts w:ascii="方正小标宋简体" w:eastAsia="方正小标宋简体" w:hint="eastAsia"/>
          <w:b/>
          <w:color w:val="000000"/>
          <w:sz w:val="44"/>
          <w:szCs w:val="44"/>
        </w:rPr>
        <w:t xml:space="preserve"> </w:t>
      </w:r>
      <w:r>
        <w:rPr>
          <w:rFonts w:ascii="方正小标宋简体" w:eastAsia="方正小标宋简体" w:hint="eastAsia"/>
          <w:bCs/>
          <w:color w:val="000000"/>
          <w:sz w:val="44"/>
          <w:szCs w:val="44"/>
        </w:rPr>
        <w:t>2023年增城区推动经济高质量发展引导基金</w:t>
      </w:r>
      <w:proofErr w:type="gramStart"/>
      <w:r>
        <w:rPr>
          <w:rFonts w:ascii="方正小标宋简体" w:eastAsia="方正小标宋简体" w:hint="eastAsia"/>
          <w:bCs/>
          <w:color w:val="000000"/>
          <w:sz w:val="44"/>
          <w:szCs w:val="44"/>
        </w:rPr>
        <w:t>子基金</w:t>
      </w:r>
      <w:proofErr w:type="gramEnd"/>
      <w:r>
        <w:rPr>
          <w:rFonts w:ascii="方正小标宋简体" w:eastAsia="方正小标宋简体" w:hint="eastAsia"/>
          <w:bCs/>
          <w:color w:val="000000"/>
          <w:sz w:val="44"/>
          <w:szCs w:val="44"/>
        </w:rPr>
        <w:t>管理机构申报指南</w:t>
      </w:r>
    </w:p>
    <w:p w:rsidR="006F0079" w:rsidRDefault="006F0079">
      <w:pPr>
        <w:ind w:firstLineChars="200" w:firstLine="640"/>
        <w:rPr>
          <w:rFonts w:ascii="仿宋" w:eastAsia="仿宋" w:hAnsi="仿宋" w:cs="仿宋"/>
          <w:bCs/>
          <w:color w:val="000000"/>
          <w:sz w:val="32"/>
          <w:szCs w:val="32"/>
        </w:rPr>
      </w:pP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为引导社会资本推动科技成果产业化，促进科技、金融与产业融合发展，助力增城区经济高质量发展，现根据广州市增城区科技工业和信息化局（以下简称“区科工信局”）印发的《</w:t>
      </w:r>
      <w:r w:rsidR="00D72C34" w:rsidRPr="004D0846">
        <w:rPr>
          <w:rFonts w:ascii="仿宋" w:eastAsia="仿宋" w:hAnsi="仿宋"/>
          <w:sz w:val="32"/>
          <w:szCs w:val="32"/>
        </w:rPr>
        <w:t>关于印发增城区</w:t>
      </w:r>
      <w:r w:rsidR="00D72C34">
        <w:rPr>
          <w:rFonts w:ascii="仿宋" w:eastAsia="仿宋" w:hAnsi="仿宋" w:hint="eastAsia"/>
          <w:sz w:val="32"/>
          <w:szCs w:val="32"/>
        </w:rPr>
        <w:t>推动经济高质量发展</w:t>
      </w:r>
      <w:r w:rsidR="00D72C34" w:rsidRPr="004D0846">
        <w:rPr>
          <w:rFonts w:ascii="仿宋" w:eastAsia="仿宋" w:hAnsi="仿宋"/>
          <w:sz w:val="32"/>
          <w:szCs w:val="32"/>
        </w:rPr>
        <w:t>引导基金管理办法</w:t>
      </w:r>
      <w:r w:rsidR="00D72C34">
        <w:rPr>
          <w:rFonts w:ascii="仿宋" w:eastAsia="仿宋" w:hAnsi="仿宋" w:hint="eastAsia"/>
          <w:sz w:val="32"/>
          <w:szCs w:val="32"/>
        </w:rPr>
        <w:t>（修订版）</w:t>
      </w:r>
      <w:r w:rsidR="00D72C34" w:rsidRPr="004D0846">
        <w:rPr>
          <w:rFonts w:ascii="仿宋" w:eastAsia="仿宋" w:hAnsi="仿宋"/>
          <w:sz w:val="32"/>
          <w:szCs w:val="32"/>
        </w:rPr>
        <w:t>的通知》（</w:t>
      </w:r>
      <w:proofErr w:type="gramStart"/>
      <w:r w:rsidR="00D72C34" w:rsidRPr="004D0846">
        <w:rPr>
          <w:rFonts w:ascii="仿宋" w:eastAsia="仿宋" w:hAnsi="仿宋"/>
          <w:sz w:val="32"/>
          <w:szCs w:val="32"/>
        </w:rPr>
        <w:t>增科工</w:t>
      </w:r>
      <w:r w:rsidR="00D72C34">
        <w:rPr>
          <w:rFonts w:ascii="仿宋" w:eastAsia="仿宋" w:hAnsi="仿宋" w:hint="eastAsia"/>
          <w:sz w:val="32"/>
          <w:szCs w:val="32"/>
        </w:rPr>
        <w:t>商</w:t>
      </w:r>
      <w:r w:rsidR="00D72C34" w:rsidRPr="004D0846">
        <w:rPr>
          <w:rFonts w:ascii="仿宋" w:eastAsia="仿宋" w:hAnsi="仿宋"/>
          <w:sz w:val="32"/>
          <w:szCs w:val="32"/>
        </w:rPr>
        <w:t>信字</w:t>
      </w:r>
      <w:proofErr w:type="gramEnd"/>
      <w:r w:rsidR="00D72C34" w:rsidRPr="004D0846">
        <w:rPr>
          <w:rFonts w:ascii="仿宋" w:eastAsia="仿宋" w:hAnsi="仿宋"/>
          <w:sz w:val="32"/>
          <w:szCs w:val="32"/>
        </w:rPr>
        <w:t>〔</w:t>
      </w:r>
      <w:r w:rsidR="00D72C34">
        <w:rPr>
          <w:rFonts w:ascii="仿宋" w:eastAsia="仿宋" w:hAnsi="仿宋" w:hint="eastAsia"/>
          <w:sz w:val="32"/>
          <w:szCs w:val="32"/>
        </w:rPr>
        <w:t>2</w:t>
      </w:r>
      <w:r w:rsidR="00D72C34">
        <w:rPr>
          <w:rFonts w:ascii="仿宋" w:eastAsia="仿宋" w:hAnsi="仿宋"/>
          <w:sz w:val="32"/>
          <w:szCs w:val="32"/>
        </w:rPr>
        <w:t>021</w:t>
      </w:r>
      <w:r w:rsidR="00D72C34" w:rsidRPr="004D0846">
        <w:rPr>
          <w:rFonts w:ascii="仿宋" w:eastAsia="仿宋" w:hAnsi="仿宋"/>
          <w:sz w:val="32"/>
          <w:szCs w:val="32"/>
        </w:rPr>
        <w:t>〕1号</w:t>
      </w:r>
      <w:r>
        <w:rPr>
          <w:rFonts w:ascii="仿宋" w:eastAsia="仿宋" w:hAnsi="仿宋" w:cs="仿宋" w:hint="eastAsia"/>
          <w:bCs/>
          <w:color w:val="000000"/>
          <w:sz w:val="32"/>
          <w:szCs w:val="32"/>
        </w:rPr>
        <w:t>，以下简称“《管理办法》”）的要求，发布2023年增城区推动经济高质量发展引导基金（以下简称“引导基金”）申报指南（以下简称“申报指南”）。</w:t>
      </w:r>
    </w:p>
    <w:p w:rsidR="006F0079" w:rsidRDefault="00000000">
      <w:pPr>
        <w:ind w:firstLineChars="200" w:firstLine="643"/>
        <w:rPr>
          <w:rFonts w:ascii="仿宋" w:eastAsia="仿宋" w:hAnsi="仿宋" w:cs="仿宋"/>
          <w:bCs/>
          <w:color w:val="000000"/>
          <w:sz w:val="32"/>
          <w:szCs w:val="32"/>
        </w:rPr>
      </w:pPr>
      <w:r>
        <w:rPr>
          <w:rFonts w:ascii="仿宋" w:eastAsia="仿宋" w:hAnsi="仿宋" w:cs="仿宋" w:hint="eastAsia"/>
          <w:b/>
          <w:color w:val="000000"/>
          <w:sz w:val="32"/>
          <w:szCs w:val="32"/>
        </w:rPr>
        <w:t>一、引导基金相关机构</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增城区推动经济高质量发展引导基金监督管理小组（以下简称“管理小组”）作为引导基金的主管机构，管理小组下设管理小组办公室（以下简称“办公室”），办公室设在开发区投资促进局。广州南粤基金集团有限公司受托作为引导基金管理机构，即引导基金管理人（以下简称“南粤基金”），受托管理引导基金并负责引导基金的日常运营。</w:t>
      </w:r>
      <w:proofErr w:type="gramStart"/>
      <w:r>
        <w:rPr>
          <w:rFonts w:ascii="仿宋" w:eastAsia="仿宋" w:hAnsi="仿宋" w:cs="仿宋" w:hint="eastAsia"/>
          <w:bCs/>
          <w:color w:val="000000"/>
          <w:sz w:val="32"/>
          <w:szCs w:val="32"/>
        </w:rPr>
        <w:t>由引导</w:t>
      </w:r>
      <w:proofErr w:type="gramEnd"/>
      <w:r>
        <w:rPr>
          <w:rFonts w:ascii="仿宋" w:eastAsia="仿宋" w:hAnsi="仿宋" w:cs="仿宋" w:hint="eastAsia"/>
          <w:bCs/>
          <w:color w:val="000000"/>
          <w:sz w:val="32"/>
          <w:szCs w:val="32"/>
        </w:rPr>
        <w:t>基金参与投资的基金统称为引导基金的子基金（以下简称“子基金”）。</w:t>
      </w:r>
    </w:p>
    <w:p w:rsidR="006F0079" w:rsidRDefault="00000000">
      <w:pPr>
        <w:ind w:firstLineChars="200" w:firstLine="643"/>
        <w:rPr>
          <w:rFonts w:ascii="仿宋" w:eastAsia="仿宋" w:hAnsi="仿宋" w:cs="仿宋"/>
          <w:b/>
          <w:color w:val="000000"/>
          <w:sz w:val="32"/>
          <w:szCs w:val="32"/>
        </w:rPr>
      </w:pPr>
      <w:r>
        <w:rPr>
          <w:rFonts w:ascii="仿宋" w:eastAsia="仿宋" w:hAnsi="仿宋" w:cs="仿宋" w:hint="eastAsia"/>
          <w:b/>
          <w:color w:val="000000"/>
          <w:sz w:val="32"/>
          <w:szCs w:val="32"/>
        </w:rPr>
        <w:t>二、引导基金投资要求</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引导基金采取</w:t>
      </w:r>
      <w:proofErr w:type="gramStart"/>
      <w:r>
        <w:rPr>
          <w:rFonts w:ascii="仿宋" w:eastAsia="仿宋" w:hAnsi="仿宋" w:cs="仿宋" w:hint="eastAsia"/>
          <w:bCs/>
          <w:color w:val="000000"/>
          <w:sz w:val="32"/>
          <w:szCs w:val="32"/>
        </w:rPr>
        <w:t>母基金</w:t>
      </w:r>
      <w:proofErr w:type="gramEnd"/>
      <w:r>
        <w:rPr>
          <w:rFonts w:ascii="仿宋" w:eastAsia="仿宋" w:hAnsi="仿宋" w:cs="仿宋" w:hint="eastAsia"/>
          <w:bCs/>
          <w:color w:val="000000"/>
          <w:sz w:val="32"/>
          <w:szCs w:val="32"/>
        </w:rPr>
        <w:t>运作方式，包括通过参股投资方</w:t>
      </w:r>
      <w:r>
        <w:rPr>
          <w:rFonts w:ascii="仿宋" w:eastAsia="仿宋" w:hAnsi="仿宋" w:cs="仿宋" w:hint="eastAsia"/>
          <w:bCs/>
          <w:color w:val="000000"/>
          <w:sz w:val="32"/>
          <w:szCs w:val="32"/>
        </w:rPr>
        <w:lastRenderedPageBreak/>
        <w:t>式，引导社会资本共同在增城区发起设立</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;或者通过增资、受让股权（或合伙企业财产份额）等方式参股投资已经成立的股权投资基金。引导基金投资的主要要求如下：</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（一）注册地。新设的</w:t>
      </w:r>
      <w:proofErr w:type="gramStart"/>
      <w:r>
        <w:rPr>
          <w:rFonts w:ascii="仿宋" w:eastAsia="仿宋" w:hAnsi="仿宋" w:cs="仿宋"/>
          <w:bCs/>
          <w:color w:val="000000"/>
          <w:sz w:val="32"/>
          <w:szCs w:val="32"/>
        </w:rPr>
        <w:t>子基金</w:t>
      </w:r>
      <w:proofErr w:type="gramEnd"/>
      <w:r>
        <w:rPr>
          <w:rFonts w:ascii="仿宋" w:eastAsia="仿宋" w:hAnsi="仿宋" w:cs="仿宋"/>
          <w:bCs/>
          <w:color w:val="000000"/>
          <w:sz w:val="32"/>
          <w:szCs w:val="32"/>
        </w:rPr>
        <w:t>应在</w:t>
      </w:r>
      <w:r>
        <w:rPr>
          <w:rFonts w:ascii="仿宋" w:eastAsia="仿宋" w:hAnsi="仿宋" w:cs="仿宋" w:hint="eastAsia"/>
          <w:bCs/>
          <w:color w:val="000000"/>
          <w:sz w:val="32"/>
          <w:szCs w:val="32"/>
        </w:rPr>
        <w:t>增城</w:t>
      </w:r>
      <w:r>
        <w:rPr>
          <w:rFonts w:ascii="仿宋" w:eastAsia="仿宋" w:hAnsi="仿宋" w:cs="仿宋"/>
          <w:bCs/>
          <w:color w:val="000000"/>
          <w:sz w:val="32"/>
          <w:szCs w:val="32"/>
        </w:rPr>
        <w:t>区</w:t>
      </w:r>
      <w:r>
        <w:rPr>
          <w:rFonts w:ascii="仿宋" w:eastAsia="仿宋" w:hAnsi="仿宋" w:cs="仿宋" w:hint="eastAsia"/>
          <w:bCs/>
          <w:color w:val="000000"/>
          <w:sz w:val="32"/>
          <w:szCs w:val="32"/>
        </w:rPr>
        <w:t>的广州中小</w:t>
      </w:r>
      <w:proofErr w:type="gramStart"/>
      <w:r>
        <w:rPr>
          <w:rFonts w:ascii="仿宋" w:eastAsia="仿宋" w:hAnsi="仿宋" w:cs="仿宋" w:hint="eastAsia"/>
          <w:bCs/>
          <w:color w:val="000000"/>
          <w:sz w:val="32"/>
          <w:szCs w:val="32"/>
        </w:rPr>
        <w:t>微企业</w:t>
      </w:r>
      <w:proofErr w:type="gramEnd"/>
      <w:r>
        <w:rPr>
          <w:rFonts w:ascii="仿宋" w:eastAsia="仿宋" w:hAnsi="仿宋" w:cs="仿宋" w:hint="eastAsia"/>
          <w:bCs/>
          <w:color w:val="000000"/>
          <w:sz w:val="32"/>
          <w:szCs w:val="32"/>
        </w:rPr>
        <w:t>金融服务区内</w:t>
      </w:r>
      <w:r>
        <w:rPr>
          <w:rFonts w:ascii="仿宋" w:eastAsia="仿宋" w:hAnsi="仿宋" w:cs="仿宋"/>
          <w:bCs/>
          <w:color w:val="000000"/>
          <w:sz w:val="32"/>
          <w:szCs w:val="32"/>
        </w:rPr>
        <w:t>注册</w:t>
      </w:r>
      <w:r>
        <w:rPr>
          <w:rFonts w:ascii="仿宋" w:eastAsia="仿宋" w:hAnsi="仿宋" w:cs="仿宋" w:hint="eastAsia"/>
          <w:bCs/>
          <w:color w:val="000000"/>
          <w:sz w:val="32"/>
          <w:szCs w:val="32"/>
        </w:rPr>
        <w:t>；通过增资、受让股权（或合伙企业财产份额）等方式参股投资已经成立的股权投资基金，</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需将注册地迁至增城区的广州中小</w:t>
      </w:r>
      <w:proofErr w:type="gramStart"/>
      <w:r>
        <w:rPr>
          <w:rFonts w:ascii="仿宋" w:eastAsia="仿宋" w:hAnsi="仿宋" w:cs="仿宋" w:hint="eastAsia"/>
          <w:bCs/>
          <w:color w:val="000000"/>
          <w:sz w:val="32"/>
          <w:szCs w:val="32"/>
        </w:rPr>
        <w:t>微企业</w:t>
      </w:r>
      <w:proofErr w:type="gramEnd"/>
      <w:r>
        <w:rPr>
          <w:rFonts w:ascii="仿宋" w:eastAsia="仿宋" w:hAnsi="仿宋" w:cs="仿宋" w:hint="eastAsia"/>
          <w:bCs/>
          <w:color w:val="000000"/>
          <w:sz w:val="32"/>
          <w:szCs w:val="32"/>
        </w:rPr>
        <w:t>金融服务区内。</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（二）基金规模。引导基金投资单个</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的最高出资额原则上不超过5000万元人民币，且不能成为第一大股东。</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（三）基金投向。增城区推动经济高质量发展引导基金投资于以下方向：</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1、战略性新兴产业。新一代信息技术、人工智能、生物与健康产业、新材料与高端装备制造、新能源与节能环保、时尚创意、新能源汽车。</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2、现代服务业。金融业、物流业、信息服务业、电子商务、商务服务业、会展业、科技服务业、文化产业、知识产权服务业、旅游业、体育产业、健康产业。</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3、广州制造2025。智能装备及机器人、新一代信息技术、节能与新能源汽车、新材料与精细化工、生物医药与健康医疗、能源及环保装备、轨道交通、高端船舶与海洋工程装备、航空与卫星应用、都市消费工业。</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4、其他方向。数字经济、大数据企业；超视</w:t>
      </w:r>
      <w:proofErr w:type="gramStart"/>
      <w:r>
        <w:rPr>
          <w:rFonts w:ascii="仿宋" w:eastAsia="仿宋" w:hAnsi="仿宋" w:cs="仿宋" w:hint="eastAsia"/>
          <w:bCs/>
          <w:color w:val="000000"/>
          <w:sz w:val="32"/>
          <w:szCs w:val="32"/>
        </w:rPr>
        <w:t>堺</w:t>
      </w:r>
      <w:proofErr w:type="gramEnd"/>
      <w:r>
        <w:rPr>
          <w:rFonts w:ascii="仿宋" w:eastAsia="仿宋" w:hAnsi="仿宋" w:cs="仿宋" w:hint="eastAsia"/>
          <w:bCs/>
          <w:color w:val="000000"/>
          <w:sz w:val="32"/>
          <w:szCs w:val="32"/>
        </w:rPr>
        <w:t>新型显</w:t>
      </w:r>
      <w:r>
        <w:rPr>
          <w:rFonts w:ascii="仿宋" w:eastAsia="仿宋" w:hAnsi="仿宋" w:cs="仿宋" w:hint="eastAsia"/>
          <w:bCs/>
          <w:color w:val="000000"/>
          <w:sz w:val="32"/>
          <w:szCs w:val="32"/>
        </w:rPr>
        <w:lastRenderedPageBreak/>
        <w:t>示项目有关半导体、电子及信息通信、精细化工及功能性材料、精密机械及光学仪器等上游产业，以及智能家居、医疗、工业互联网等下游产业。</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（四）存续期限。</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的存续期限不少于3年，最长不得超过引导基金的到期期限。</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（五）投资比例。</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存续期内，</w:t>
      </w:r>
      <w:proofErr w:type="gramStart"/>
      <w:r>
        <w:rPr>
          <w:rFonts w:ascii="仿宋" w:eastAsia="仿宋" w:hAnsi="仿宋" w:cs="仿宋" w:hint="eastAsia"/>
          <w:bCs/>
          <w:color w:val="000000"/>
          <w:sz w:val="32"/>
          <w:szCs w:val="32"/>
        </w:rPr>
        <w:t>投资于增城区</w:t>
      </w:r>
      <w:proofErr w:type="gramEnd"/>
      <w:r>
        <w:rPr>
          <w:rFonts w:ascii="仿宋" w:eastAsia="仿宋" w:hAnsi="仿宋" w:cs="仿宋" w:hint="eastAsia"/>
          <w:bCs/>
          <w:color w:val="000000"/>
          <w:sz w:val="32"/>
          <w:szCs w:val="32"/>
        </w:rPr>
        <w:t>内注册企业的资金总额不得低于引导基金参股出资的金额。</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（六）项目投资期限。</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需在</w:t>
      </w:r>
      <w:proofErr w:type="gramStart"/>
      <w:r>
        <w:rPr>
          <w:rFonts w:ascii="仿宋" w:eastAsia="仿宋" w:hAnsi="仿宋" w:cs="仿宋" w:hint="eastAsia"/>
          <w:bCs/>
          <w:color w:val="000000"/>
          <w:sz w:val="32"/>
          <w:szCs w:val="32"/>
        </w:rPr>
        <w:t>自引导</w:t>
      </w:r>
      <w:proofErr w:type="gramEnd"/>
      <w:r>
        <w:rPr>
          <w:rFonts w:ascii="仿宋" w:eastAsia="仿宋" w:hAnsi="仿宋" w:cs="仿宋" w:hint="eastAsia"/>
          <w:bCs/>
          <w:color w:val="000000"/>
          <w:sz w:val="32"/>
          <w:szCs w:val="32"/>
        </w:rPr>
        <w:t>基金以参股投资方式形成</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的股权后的3年内完成项目投资，且项目退出时间需早于</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的到期期限。</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（七）委托管理。</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治理结构必须符合法律要求，委托专业管理机构负责</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的日常投资和管理。</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（八）设立方式。</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可以选择公司制或合伙制形式设立，须严格遵照《中华人民共和国公司法》、《中华人民共和国合伙企业法》等相关法律、法规规定设立和运作。</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（九）出资时间。引导基金与其他投资人对子基金的出资应分期同步同比例到位。引导基金和其他社会投资人按照投资协议，将实缴资金</w:t>
      </w:r>
      <w:proofErr w:type="gramStart"/>
      <w:r>
        <w:rPr>
          <w:rFonts w:ascii="仿宋" w:eastAsia="仿宋" w:hAnsi="仿宋" w:cs="仿宋" w:hint="eastAsia"/>
          <w:bCs/>
          <w:color w:val="000000"/>
          <w:sz w:val="32"/>
          <w:szCs w:val="32"/>
        </w:rPr>
        <w:t>分期同</w:t>
      </w:r>
      <w:proofErr w:type="gramEnd"/>
      <w:r>
        <w:rPr>
          <w:rFonts w:ascii="仿宋" w:eastAsia="仿宋" w:hAnsi="仿宋" w:cs="仿宋" w:hint="eastAsia"/>
          <w:bCs/>
          <w:color w:val="000000"/>
          <w:sz w:val="32"/>
          <w:szCs w:val="32"/>
        </w:rPr>
        <w:t>比例拨付至</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账户。</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（十）平层结构。</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各出资方应当按照“利益共享、风险共担”的原则，明确约定收益处理和亏损负担方式。引导基金不向其他出资人承诺投资本金不受损失，不承诺最低收益。</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lastRenderedPageBreak/>
        <w:t>（十一）后续申请。已申请引导基金出资的</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对外投资金额未达到</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规模的60%，</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管理机构不得继续申请引导基金参股投资。</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（十二）</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业务运作报告。</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管理机构应在每年7月和次年1月向南粤基金提交上半年和上年度</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业务运作报告;在每年4月前提交上年度经审计的</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财务报告和银行托管报告。南粤基金视工作需要可委托专业机构对子基金进行审计。</w:t>
      </w:r>
    </w:p>
    <w:p w:rsidR="006F0079" w:rsidRDefault="00000000">
      <w:pPr>
        <w:ind w:firstLineChars="200" w:firstLine="640"/>
        <w:rPr>
          <w:rFonts w:ascii="仿宋" w:eastAsia="仿宋" w:hAnsi="仿宋" w:cs="仿宋"/>
          <w:bCs/>
          <w:color w:val="000000"/>
          <w:sz w:val="32"/>
          <w:szCs w:val="32"/>
        </w:rPr>
      </w:pP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管理机构应当将</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相关重大事项（具体在</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章程或合伙协议中约定）向引导基金书面报告（具体报备工作向引导基金受托管理机构南粤基金提交）。</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管理机构应在</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完成项目投资事项后1个月内向南粤基金进行项目备案。</w:t>
      </w:r>
    </w:p>
    <w:p w:rsidR="006F0079" w:rsidRDefault="00000000">
      <w:pPr>
        <w:ind w:firstLineChars="200" w:firstLine="643"/>
        <w:rPr>
          <w:rFonts w:ascii="仿宋_GB2312" w:eastAsia="仿宋_GB2312"/>
          <w:b/>
          <w:bCs/>
          <w:sz w:val="32"/>
          <w:szCs w:val="32"/>
        </w:rPr>
      </w:pPr>
      <w:r>
        <w:rPr>
          <w:rFonts w:ascii="仿宋_GB2312" w:eastAsia="仿宋_GB2312" w:hint="eastAsia"/>
          <w:b/>
          <w:bCs/>
          <w:sz w:val="32"/>
          <w:szCs w:val="32"/>
        </w:rPr>
        <w:t>三、申请条件</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（一）申请和引导基金进行合作的</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管理机构除满足相关法律要求外，还应符合以下条件：</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1、依法设立，注册资本不低于1000万元，且已实缴资金不低于1000万元；</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2、公司治理、内控机制和管理制度健全有效，具有丰富的投资管理经验，历史业绩优秀，为投资基金配备</w:t>
      </w:r>
      <w:proofErr w:type="gramStart"/>
      <w:r>
        <w:rPr>
          <w:rFonts w:ascii="仿宋" w:eastAsia="仿宋" w:hAnsi="仿宋" w:cs="仿宋" w:hint="eastAsia"/>
          <w:bCs/>
          <w:color w:val="000000"/>
          <w:sz w:val="32"/>
          <w:szCs w:val="32"/>
        </w:rPr>
        <w:t>专属且稳定</w:t>
      </w:r>
      <w:proofErr w:type="gramEnd"/>
      <w:r>
        <w:rPr>
          <w:rFonts w:ascii="仿宋" w:eastAsia="仿宋" w:hAnsi="仿宋" w:cs="仿宋" w:hint="eastAsia"/>
          <w:bCs/>
          <w:color w:val="000000"/>
          <w:sz w:val="32"/>
          <w:szCs w:val="32"/>
        </w:rPr>
        <w:t>的管理团队；</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3、</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管理机构需在中国基金业协会登记为私募股</w:t>
      </w:r>
      <w:r>
        <w:rPr>
          <w:rFonts w:ascii="仿宋" w:eastAsia="仿宋" w:hAnsi="仿宋" w:cs="仿宋" w:hint="eastAsia"/>
          <w:bCs/>
          <w:color w:val="000000"/>
          <w:sz w:val="32"/>
          <w:szCs w:val="32"/>
        </w:rPr>
        <w:lastRenderedPageBreak/>
        <w:t>权、创业投资基金管理人；</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4、有健全的激励约束机制、跟进投资机制、资产托管机制和风险隔离机制；</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5、未被列入中国证券投资基金业协会异常机构名单；</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6、接受南粤基金涉及投资运作的质询，并根据需要向南粤基金报告有关情况。</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（二）新设立</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申请引导基金出资的，应符合以下条件：</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1、主要发起人（合伙人，下同）、</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管理机构、托管银行已基本确定，其他出资人（合伙人，下同）已初步落实，并保证资金按约定及时足额到位。</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2、</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所有出资人均以合法的资金认缴出资，除子基金管理机构外的单个机构出资人出资额不低于300万元人民币，单个自然人出资人出资额不低于100万元人民币，</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出资人数量符合相关法律规定。所有出资人均以货币形式出资，且全部出资须在3年内到位，</w:t>
      </w:r>
      <w:r>
        <w:rPr>
          <w:rFonts w:ascii="仿宋" w:eastAsia="仿宋" w:hAnsi="仿宋" w:cs="仿宋"/>
          <w:bCs/>
          <w:color w:val="000000"/>
          <w:sz w:val="32"/>
          <w:szCs w:val="32"/>
        </w:rPr>
        <w:t>其中首期出资须在引导基金同意出资后两个月内</w:t>
      </w:r>
      <w:r>
        <w:rPr>
          <w:rFonts w:ascii="仿宋" w:eastAsia="仿宋" w:hAnsi="仿宋" w:cs="仿宋" w:hint="eastAsia"/>
          <w:bCs/>
          <w:color w:val="000000"/>
          <w:sz w:val="32"/>
          <w:szCs w:val="32"/>
        </w:rPr>
        <w:t>到位</w:t>
      </w:r>
      <w:r>
        <w:rPr>
          <w:rFonts w:ascii="仿宋" w:eastAsia="仿宋" w:hAnsi="仿宋" w:cs="仿宋"/>
          <w:bCs/>
          <w:color w:val="000000"/>
          <w:sz w:val="32"/>
          <w:szCs w:val="32"/>
        </w:rPr>
        <w:t>且出资额不低于20%。</w:t>
      </w:r>
      <w:r>
        <w:rPr>
          <w:rFonts w:ascii="仿宋" w:eastAsia="仿宋" w:hAnsi="仿宋" w:cs="仿宋" w:hint="eastAsia"/>
          <w:bCs/>
          <w:color w:val="000000"/>
          <w:sz w:val="32"/>
          <w:szCs w:val="32"/>
        </w:rPr>
        <w:t>在全部出资到位前，引导基金的出资比例不高于其他出资人资金到位比例。</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3、作为</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管理人的</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管理机构须对子基金实缴出资，具体出资比例在</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章程或合伙协议中约定。</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4、作为</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管理人的</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管理机构已经具有一定</w:t>
      </w:r>
      <w:r>
        <w:rPr>
          <w:rFonts w:ascii="仿宋" w:eastAsia="仿宋" w:hAnsi="仿宋" w:cs="仿宋" w:hint="eastAsia"/>
          <w:bCs/>
          <w:color w:val="000000"/>
          <w:sz w:val="32"/>
          <w:szCs w:val="32"/>
        </w:rPr>
        <w:lastRenderedPageBreak/>
        <w:t>数量的项目储备并制定了第一阶段的投资计划。</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（三）申请引导基金对现有引导基金进行增资或受让股权（合伙企业财产份额）的，除需符合新设立</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条件外，还应满足以下条件：</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1、投资基金已按有关法律法规设立，并在中国证券投资基金业协会完成产品备案，且开始投资运作；</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2、投资基金全体出资人首期出资已经到位，且不低于注册资本或承诺出资额的20%。</w:t>
      </w:r>
    </w:p>
    <w:p w:rsidR="006F0079" w:rsidRDefault="00000000">
      <w:pPr>
        <w:ind w:firstLineChars="200" w:firstLine="627"/>
        <w:rPr>
          <w:rFonts w:ascii="仿宋_GB2312" w:eastAsia="仿宋_GB2312" w:cs="Times New Roman"/>
          <w:b/>
          <w:bCs/>
          <w:spacing w:val="-4"/>
          <w:sz w:val="32"/>
          <w:szCs w:val="22"/>
        </w:rPr>
      </w:pPr>
      <w:r>
        <w:rPr>
          <w:rFonts w:ascii="仿宋_GB2312" w:eastAsia="仿宋_GB2312" w:cs="Times New Roman" w:hint="eastAsia"/>
          <w:b/>
          <w:bCs/>
          <w:spacing w:val="-4"/>
          <w:sz w:val="32"/>
          <w:szCs w:val="22"/>
        </w:rPr>
        <w:t>四、引导基金的退出</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（一）引导基金的退出方式</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1、引导基金投资参股</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形成的股权（或合伙企业财产份额）在有受让人的情况下可随时退出，可通过到期清算、社会股东回购、股权（或合伙企业财产份额）转让（上市或非上市）等方式实现退出。</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2、引导基金退出前，</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已实现盈利的，引导基金应按照出资份额比例获取相应的</w:t>
      </w:r>
      <w:proofErr w:type="gramStart"/>
      <w:r>
        <w:rPr>
          <w:rFonts w:ascii="仿宋" w:eastAsia="仿宋" w:hAnsi="仿宋" w:cs="仿宋" w:hint="eastAsia"/>
          <w:bCs/>
          <w:color w:val="000000"/>
          <w:sz w:val="32"/>
          <w:szCs w:val="32"/>
        </w:rPr>
        <w:t>分红再</w:t>
      </w:r>
      <w:proofErr w:type="gramEnd"/>
      <w:r>
        <w:rPr>
          <w:rFonts w:ascii="仿宋" w:eastAsia="仿宋" w:hAnsi="仿宋" w:cs="仿宋" w:hint="eastAsia"/>
          <w:bCs/>
          <w:color w:val="000000"/>
          <w:sz w:val="32"/>
          <w:szCs w:val="32"/>
        </w:rPr>
        <w:t>退出。</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（二）引导基金的提前退出</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有下述情况之一的，引导基金可无需其他出资人同意，有权选择提前退出：</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方案确认后超过1年，</w:t>
      </w:r>
      <w:proofErr w:type="gramStart"/>
      <w:r>
        <w:rPr>
          <w:rFonts w:ascii="仿宋" w:eastAsia="仿宋" w:hAnsi="仿宋" w:cs="仿宋" w:hint="eastAsia"/>
          <w:bCs/>
          <w:color w:val="000000"/>
          <w:sz w:val="32"/>
          <w:szCs w:val="32"/>
        </w:rPr>
        <w:t>子基金未</w:t>
      </w:r>
      <w:proofErr w:type="gramEnd"/>
      <w:r>
        <w:rPr>
          <w:rFonts w:ascii="仿宋" w:eastAsia="仿宋" w:hAnsi="仿宋" w:cs="仿宋" w:hint="eastAsia"/>
          <w:bCs/>
          <w:color w:val="000000"/>
          <w:sz w:val="32"/>
          <w:szCs w:val="32"/>
        </w:rPr>
        <w:t>按规定程序和时间要求完成设立手续的；</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2、引导基金出资资金拨付</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账户1年以上，</w:t>
      </w:r>
      <w:proofErr w:type="gramStart"/>
      <w:r>
        <w:rPr>
          <w:rFonts w:ascii="仿宋" w:eastAsia="仿宋" w:hAnsi="仿宋" w:cs="仿宋" w:hint="eastAsia"/>
          <w:bCs/>
          <w:color w:val="000000"/>
          <w:sz w:val="32"/>
          <w:szCs w:val="32"/>
        </w:rPr>
        <w:t>子基</w:t>
      </w:r>
      <w:r>
        <w:rPr>
          <w:rFonts w:ascii="仿宋" w:eastAsia="仿宋" w:hAnsi="仿宋" w:cs="仿宋" w:hint="eastAsia"/>
          <w:bCs/>
          <w:color w:val="000000"/>
          <w:sz w:val="32"/>
          <w:szCs w:val="32"/>
        </w:rPr>
        <w:lastRenderedPageBreak/>
        <w:t>金未</w:t>
      </w:r>
      <w:proofErr w:type="gramEnd"/>
      <w:r>
        <w:rPr>
          <w:rFonts w:ascii="仿宋" w:eastAsia="仿宋" w:hAnsi="仿宋" w:cs="仿宋" w:hint="eastAsia"/>
          <w:bCs/>
          <w:color w:val="000000"/>
          <w:sz w:val="32"/>
          <w:szCs w:val="32"/>
        </w:rPr>
        <w:t>开展投资业务的；</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3、</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投资领域和阶段不符合政策目标的；</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4、</w:t>
      </w:r>
      <w:proofErr w:type="gramStart"/>
      <w:r>
        <w:rPr>
          <w:rFonts w:ascii="仿宋" w:eastAsia="仿宋" w:hAnsi="仿宋" w:cs="仿宋" w:hint="eastAsia"/>
          <w:bCs/>
          <w:color w:val="000000"/>
          <w:sz w:val="32"/>
          <w:szCs w:val="32"/>
        </w:rPr>
        <w:t>子基金未按子基金</w:t>
      </w:r>
      <w:proofErr w:type="gramEnd"/>
      <w:r>
        <w:rPr>
          <w:rFonts w:ascii="仿宋" w:eastAsia="仿宋" w:hAnsi="仿宋" w:cs="仿宋" w:hint="eastAsia"/>
          <w:bCs/>
          <w:color w:val="000000"/>
          <w:sz w:val="32"/>
          <w:szCs w:val="32"/>
        </w:rPr>
        <w:t>章程约定投资的；</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5、</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管理机构发生实质性变化的。</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五、</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的激励惩罚机制</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（一）退出定价</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引导基金以参股投资方式形成</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的股权后退出，</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其他出资人享有优先受</w:t>
      </w:r>
      <w:proofErr w:type="gramStart"/>
      <w:r>
        <w:rPr>
          <w:rFonts w:ascii="仿宋" w:eastAsia="仿宋" w:hAnsi="仿宋" w:cs="仿宋" w:hint="eastAsia"/>
          <w:bCs/>
          <w:color w:val="000000"/>
          <w:sz w:val="32"/>
          <w:szCs w:val="32"/>
        </w:rPr>
        <w:t>让引导</w:t>
      </w:r>
      <w:proofErr w:type="gramEnd"/>
      <w:r>
        <w:rPr>
          <w:rFonts w:ascii="仿宋" w:eastAsia="仿宋" w:hAnsi="仿宋" w:cs="仿宋" w:hint="eastAsia"/>
          <w:bCs/>
          <w:color w:val="000000"/>
          <w:sz w:val="32"/>
          <w:szCs w:val="32"/>
        </w:rPr>
        <w:t>基金占有份额的权利。引导基金退出时定价如下：</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1、引导基金投入不超过3年的，转让价格参照引导基金原始投资额与股权转让时同期定期存款利率计算的收益之和确定，计算公式=引导基金出资金额+引导基金出资金额×同期定期存款利率×期限。</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2、引导基金投入在3年以上不超过5年的，转让价格参照引导基金原始投资额加上同期银行贷款基准利率计算的收益之和确定，计算公式：转让价格=引导基金出资金额+引导基金出资金额×同期贷款基准利率×期限。</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3、引导基金投入超过5年的，按照市场化方式退出。</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（二）激励机制</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引导基金根据</w:t>
      </w:r>
      <w:proofErr w:type="gramStart"/>
      <w:r>
        <w:rPr>
          <w:rFonts w:ascii="仿宋" w:eastAsia="仿宋" w:hAnsi="仿宋" w:cs="仿宋" w:hint="eastAsia"/>
          <w:bCs/>
          <w:color w:val="000000"/>
          <w:sz w:val="32"/>
          <w:szCs w:val="32"/>
        </w:rPr>
        <w:t>子基金投资于增</w:t>
      </w:r>
      <w:proofErr w:type="gramEnd"/>
      <w:r>
        <w:rPr>
          <w:rFonts w:ascii="仿宋" w:eastAsia="仿宋" w:hAnsi="仿宋" w:cs="仿宋" w:hint="eastAsia"/>
          <w:bCs/>
          <w:color w:val="000000"/>
          <w:sz w:val="32"/>
          <w:szCs w:val="32"/>
        </w:rPr>
        <w:t>城区内企业金额与引导基金出资金额的比例（下简称“投资比例”），可将引导基金参股该</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的80%增值收益（增值收益指回收资金扣减</w:t>
      </w:r>
      <w:r>
        <w:rPr>
          <w:rFonts w:ascii="仿宋" w:eastAsia="仿宋" w:hAnsi="仿宋" w:cs="仿宋" w:hint="eastAsia"/>
          <w:bCs/>
          <w:color w:val="000000"/>
          <w:sz w:val="32"/>
          <w:szCs w:val="32"/>
        </w:rPr>
        <w:lastRenderedPageBreak/>
        <w:t>引导基金投资额、各项税费、</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管理机构正常奖励部分）按一定比例奖励给</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管理机构和</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其他出资人，具体如下：</w:t>
      </w:r>
    </w:p>
    <w:tbl>
      <w:tblPr>
        <w:tblStyle w:val="a9"/>
        <w:tblW w:w="7124" w:type="dxa"/>
        <w:jc w:val="center"/>
        <w:tblLayout w:type="fixed"/>
        <w:tblLook w:val="04A0" w:firstRow="1" w:lastRow="0" w:firstColumn="1" w:lastColumn="0" w:noHBand="0" w:noVBand="1"/>
      </w:tblPr>
      <w:tblGrid>
        <w:gridCol w:w="3460"/>
        <w:gridCol w:w="3664"/>
      </w:tblGrid>
      <w:tr w:rsidR="006F0079">
        <w:trPr>
          <w:jc w:val="center"/>
        </w:trPr>
        <w:tc>
          <w:tcPr>
            <w:tcW w:w="3460" w:type="dxa"/>
            <w:vAlign w:val="center"/>
          </w:tcPr>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投资比例</w:t>
            </w:r>
          </w:p>
        </w:tc>
        <w:tc>
          <w:tcPr>
            <w:tcW w:w="3664" w:type="dxa"/>
            <w:vAlign w:val="center"/>
          </w:tcPr>
          <w:p w:rsidR="006F0079" w:rsidRDefault="00000000">
            <w:pPr>
              <w:rPr>
                <w:rFonts w:ascii="仿宋" w:eastAsia="仿宋" w:hAnsi="仿宋" w:cs="仿宋"/>
                <w:bCs/>
                <w:color w:val="000000"/>
                <w:sz w:val="32"/>
                <w:szCs w:val="32"/>
              </w:rPr>
            </w:pPr>
            <w:r>
              <w:rPr>
                <w:rFonts w:ascii="仿宋" w:eastAsia="仿宋" w:hAnsi="仿宋" w:cs="仿宋" w:hint="eastAsia"/>
                <w:bCs/>
                <w:color w:val="000000"/>
                <w:sz w:val="32"/>
                <w:szCs w:val="32"/>
              </w:rPr>
              <w:t>80%增值收益的让利比例</w:t>
            </w:r>
          </w:p>
        </w:tc>
      </w:tr>
      <w:tr w:rsidR="006F0079">
        <w:trPr>
          <w:jc w:val="center"/>
        </w:trPr>
        <w:tc>
          <w:tcPr>
            <w:tcW w:w="3460" w:type="dxa"/>
            <w:vAlign w:val="center"/>
          </w:tcPr>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100%-120%（含）</w:t>
            </w:r>
          </w:p>
        </w:tc>
        <w:tc>
          <w:tcPr>
            <w:tcW w:w="3664" w:type="dxa"/>
            <w:vAlign w:val="center"/>
          </w:tcPr>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20%</w:t>
            </w:r>
          </w:p>
        </w:tc>
      </w:tr>
      <w:tr w:rsidR="006F0079">
        <w:trPr>
          <w:jc w:val="center"/>
        </w:trPr>
        <w:tc>
          <w:tcPr>
            <w:tcW w:w="3460" w:type="dxa"/>
            <w:vAlign w:val="center"/>
          </w:tcPr>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120%-150%（含）</w:t>
            </w:r>
          </w:p>
        </w:tc>
        <w:tc>
          <w:tcPr>
            <w:tcW w:w="3664" w:type="dxa"/>
            <w:vAlign w:val="center"/>
          </w:tcPr>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30%</w:t>
            </w:r>
          </w:p>
        </w:tc>
      </w:tr>
      <w:tr w:rsidR="006F0079">
        <w:trPr>
          <w:jc w:val="center"/>
        </w:trPr>
        <w:tc>
          <w:tcPr>
            <w:tcW w:w="3460" w:type="dxa"/>
            <w:vAlign w:val="center"/>
          </w:tcPr>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150%-200%（含）</w:t>
            </w:r>
          </w:p>
        </w:tc>
        <w:tc>
          <w:tcPr>
            <w:tcW w:w="3664" w:type="dxa"/>
            <w:vAlign w:val="center"/>
          </w:tcPr>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50%</w:t>
            </w:r>
          </w:p>
        </w:tc>
      </w:tr>
      <w:tr w:rsidR="006F0079">
        <w:trPr>
          <w:jc w:val="center"/>
        </w:trPr>
        <w:tc>
          <w:tcPr>
            <w:tcW w:w="3460" w:type="dxa"/>
            <w:vAlign w:val="center"/>
          </w:tcPr>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超过200%</w:t>
            </w:r>
          </w:p>
        </w:tc>
        <w:tc>
          <w:tcPr>
            <w:tcW w:w="3664" w:type="dxa"/>
            <w:vAlign w:val="center"/>
          </w:tcPr>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100%</w:t>
            </w:r>
          </w:p>
        </w:tc>
      </w:tr>
    </w:tbl>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（三）惩罚机制</w:t>
      </w:r>
    </w:p>
    <w:p w:rsidR="006F0079" w:rsidRDefault="00000000">
      <w:pPr>
        <w:ind w:firstLineChars="200" w:firstLine="640"/>
        <w:rPr>
          <w:rFonts w:ascii="仿宋" w:eastAsia="仿宋" w:hAnsi="仿宋" w:cs="仿宋"/>
          <w:bCs/>
          <w:color w:val="000000"/>
          <w:sz w:val="32"/>
          <w:szCs w:val="32"/>
        </w:rPr>
      </w:pP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投资在增城区内注册企业的比例不能低于引导基金出资的100%。若</w:t>
      </w:r>
      <w:proofErr w:type="gramStart"/>
      <w:r>
        <w:rPr>
          <w:rFonts w:ascii="仿宋" w:eastAsia="仿宋" w:hAnsi="仿宋" w:cs="仿宋" w:hint="eastAsia"/>
          <w:bCs/>
          <w:color w:val="000000"/>
          <w:sz w:val="32"/>
          <w:szCs w:val="32"/>
        </w:rPr>
        <w:t>子基金在自引导</w:t>
      </w:r>
      <w:proofErr w:type="gramEnd"/>
      <w:r>
        <w:rPr>
          <w:rFonts w:ascii="仿宋" w:eastAsia="仿宋" w:hAnsi="仿宋" w:cs="仿宋" w:hint="eastAsia"/>
          <w:bCs/>
          <w:color w:val="000000"/>
          <w:sz w:val="32"/>
          <w:szCs w:val="32"/>
        </w:rPr>
        <w:t>基金以参股投资方式形成</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股权后的3年内，</w:t>
      </w:r>
      <w:proofErr w:type="gramStart"/>
      <w:r>
        <w:rPr>
          <w:rFonts w:ascii="仿宋" w:eastAsia="仿宋" w:hAnsi="仿宋" w:cs="仿宋" w:hint="eastAsia"/>
          <w:bCs/>
          <w:color w:val="000000"/>
          <w:sz w:val="32"/>
          <w:szCs w:val="32"/>
        </w:rPr>
        <w:t>投资于增城区</w:t>
      </w:r>
      <w:proofErr w:type="gramEnd"/>
      <w:r>
        <w:rPr>
          <w:rFonts w:ascii="仿宋" w:eastAsia="仿宋" w:hAnsi="仿宋" w:cs="仿宋" w:hint="eastAsia"/>
          <w:bCs/>
          <w:color w:val="000000"/>
          <w:sz w:val="32"/>
          <w:szCs w:val="32"/>
        </w:rPr>
        <w:t>内注册企业的比例低于引导基金出资的100%的，引导基金无需其他出资人同意即可选择退出，并且引导基金受托管理机构可以采取以下措施：</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1、要求退回全部出资金额；</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2、要求</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管理机构或（及）</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其他出资人共计向引导基金支付以同期定期存款利率的2倍计算的违约金，违约金计算公式=引导基金出资金额×同期定期存款利率×2×期限；</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3、有权永久性取消该</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管理机构申报增城区产业引导基金的资格；</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lastRenderedPageBreak/>
        <w:t>4、有权向广州市金融工作局申请将该</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管理机构列入广州市金融工作局失信名单。</w:t>
      </w:r>
    </w:p>
    <w:p w:rsidR="006F0079" w:rsidRDefault="00000000">
      <w:pPr>
        <w:ind w:firstLineChars="200" w:firstLine="627"/>
        <w:rPr>
          <w:rFonts w:ascii="仿宋_GB2312" w:eastAsia="仿宋_GB2312" w:cs="Times New Roman"/>
          <w:b/>
          <w:bCs/>
          <w:spacing w:val="-4"/>
          <w:sz w:val="32"/>
          <w:szCs w:val="22"/>
        </w:rPr>
      </w:pPr>
      <w:r>
        <w:rPr>
          <w:rFonts w:ascii="仿宋_GB2312" w:eastAsia="仿宋_GB2312" w:cs="Times New Roman" w:hint="eastAsia"/>
          <w:b/>
          <w:bCs/>
          <w:spacing w:val="-4"/>
          <w:sz w:val="32"/>
          <w:szCs w:val="22"/>
        </w:rPr>
        <w:t>六、引导基金的风险控制</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（一）</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不得直接或间接从事以下业务：</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1、投资于已上市企业股票，所投资的未上市企业上市后，参股基金所持股份未转让及其配售部分除外；</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2、从事担保、抵押、委托贷款、房地产（包括购买自用房地产）等业务；</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3、投资于股票、期货、企业债券、信托产品、非保本理财产品、保险计划及其他金融衍生品；</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4、投资于其他投资基金；</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5、向任何第三人提供赞助、捐赠等；</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6、吸收或变相吸收存款，或向任何第三人提供贷款和资金拆借；</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7、进行承担无限连带责任的对外投资；</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8、发行信托或集合理财产品的形式募集资金；</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9、其他国家法律法规禁止从事的业务。</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（二）参股</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的主要发起人不得先于引导基金退出子基金。</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（三）引导基金以出资额为限对子基金债务承担责任，除参股</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章程（或合伙协议）中约定外，不要求优于其他出资人的额外优惠条款。</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lastRenderedPageBreak/>
        <w:t>（四）</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在发生清算（包括解散和破产）时，按照法律程序清偿债权人的债权后，剩余财产按比例清偿引导基金及</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其他出资人；当</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清算出现亏损时，首先由子基金管理机构以其对子基金的出资额承担亏损，剩余</w:t>
      </w:r>
      <w:proofErr w:type="gramStart"/>
      <w:r>
        <w:rPr>
          <w:rFonts w:ascii="仿宋" w:eastAsia="仿宋" w:hAnsi="仿宋" w:cs="仿宋" w:hint="eastAsia"/>
          <w:bCs/>
          <w:color w:val="000000"/>
          <w:sz w:val="32"/>
          <w:szCs w:val="32"/>
        </w:rPr>
        <w:t>由引导</w:t>
      </w:r>
      <w:proofErr w:type="gramEnd"/>
      <w:r>
        <w:rPr>
          <w:rFonts w:ascii="仿宋" w:eastAsia="仿宋" w:hAnsi="仿宋" w:cs="仿宋" w:hint="eastAsia"/>
          <w:bCs/>
          <w:color w:val="000000"/>
          <w:sz w:val="32"/>
          <w:szCs w:val="32"/>
        </w:rPr>
        <w:t>基金及</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其他出资人按出资比例承担。</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（五）引导基金作为出资人，有权委派代表作为观察员参加</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的投资决策委员会会议，享有查阅</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档案文件、监督</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按照相关协议及本办法规定的要求进行投资运作等权利，对违反本协议规定的产业投资领域或禁止从事业务、或者违反</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章程（或合伙协议）的事项，观察员有权向</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股东会（或合伙人会议）、董事会或投资决策委员会提出否决意见，</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根据否决意见</w:t>
      </w:r>
      <w:r>
        <w:rPr>
          <w:rFonts w:ascii="仿宋" w:eastAsia="仿宋" w:hAnsi="仿宋" w:cs="仿宋"/>
          <w:bCs/>
          <w:color w:val="000000"/>
          <w:sz w:val="32"/>
          <w:szCs w:val="32"/>
        </w:rPr>
        <w:t>暂时</w:t>
      </w:r>
      <w:r>
        <w:rPr>
          <w:rFonts w:ascii="仿宋" w:eastAsia="仿宋" w:hAnsi="仿宋" w:cs="仿宋" w:hint="eastAsia"/>
          <w:bCs/>
          <w:color w:val="000000"/>
          <w:sz w:val="32"/>
          <w:szCs w:val="32"/>
        </w:rPr>
        <w:t>停止运作该事项。</w:t>
      </w:r>
      <w:r>
        <w:rPr>
          <w:rFonts w:ascii="仿宋" w:eastAsia="仿宋" w:hAnsi="仿宋" w:cs="仿宋"/>
          <w:bCs/>
          <w:color w:val="000000"/>
          <w:sz w:val="32"/>
          <w:szCs w:val="32"/>
        </w:rPr>
        <w:t>同时</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w:t>
      </w:r>
      <w:r>
        <w:rPr>
          <w:rFonts w:ascii="仿宋" w:eastAsia="仿宋" w:hAnsi="仿宋" w:cs="仿宋"/>
          <w:bCs/>
          <w:color w:val="000000"/>
          <w:sz w:val="32"/>
          <w:szCs w:val="32"/>
        </w:rPr>
        <w:t>可以书面向南粤基金提出申诉，南粤基金根据调查结果出具裁决意见。</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（六）对引导基金运作中的各种违规行为和</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主要发起人弄虚作假骗取引导基金或不按规定用途使用、截留挪用、挥霍浪费引导基金等行为，建立责任追究制度。</w:t>
      </w:r>
    </w:p>
    <w:p w:rsidR="006F0079" w:rsidRDefault="00000000">
      <w:pPr>
        <w:ind w:firstLineChars="200" w:firstLine="627"/>
        <w:rPr>
          <w:rFonts w:ascii="仿宋_GB2312" w:eastAsia="仿宋_GB2312"/>
          <w:b/>
          <w:bCs/>
          <w:spacing w:val="-4"/>
          <w:sz w:val="32"/>
        </w:rPr>
      </w:pPr>
      <w:r>
        <w:rPr>
          <w:rFonts w:ascii="仿宋_GB2312" w:eastAsia="仿宋_GB2312" w:hint="eastAsia"/>
          <w:b/>
          <w:bCs/>
          <w:spacing w:val="-4"/>
          <w:sz w:val="32"/>
        </w:rPr>
        <w:t>七、引导基金的申报与决策流程</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（一）公开征集。申报机构按本指南规定统一将申报材料提交报送至南粤基金；</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（二）尽职调查。南粤基金通过收集申报资料、尽职调查（</w:t>
      </w:r>
      <w:proofErr w:type="gramStart"/>
      <w:r>
        <w:rPr>
          <w:rFonts w:ascii="仿宋" w:eastAsia="仿宋" w:hAnsi="仿宋" w:cs="仿宋" w:hint="eastAsia"/>
          <w:bCs/>
          <w:color w:val="000000"/>
          <w:sz w:val="32"/>
          <w:szCs w:val="32"/>
        </w:rPr>
        <w:t>含现场</w:t>
      </w:r>
      <w:proofErr w:type="gramEnd"/>
      <w:r>
        <w:rPr>
          <w:rFonts w:ascii="仿宋" w:eastAsia="仿宋" w:hAnsi="仿宋" w:cs="仿宋" w:hint="eastAsia"/>
          <w:bCs/>
          <w:color w:val="000000"/>
          <w:sz w:val="32"/>
          <w:szCs w:val="32"/>
        </w:rPr>
        <w:t>尽职调查和非现场尽职调查）、内部初审等环节</w:t>
      </w:r>
      <w:r>
        <w:rPr>
          <w:rFonts w:ascii="仿宋" w:eastAsia="仿宋" w:hAnsi="仿宋" w:cs="仿宋" w:hint="eastAsia"/>
          <w:bCs/>
          <w:color w:val="000000"/>
          <w:sz w:val="32"/>
          <w:szCs w:val="32"/>
        </w:rPr>
        <w:lastRenderedPageBreak/>
        <w:t>进行初步筛选，优先考虑过往已投资增城区内企业的申报机构。对不符合《管理办法》或本指南要求的不予通过，对通过初步筛选的申报资料和尽职调查情况提交给评审会评审；</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（三）评审会评审。根据申报资料和尽职调查情况组织评审委员会评审（申请机构应</w:t>
      </w:r>
      <w:proofErr w:type="gramStart"/>
      <w:r>
        <w:rPr>
          <w:rFonts w:ascii="仿宋" w:eastAsia="仿宋" w:hAnsi="仿宋" w:cs="仿宋" w:hint="eastAsia"/>
          <w:bCs/>
          <w:color w:val="000000"/>
          <w:sz w:val="32"/>
          <w:szCs w:val="32"/>
        </w:rPr>
        <w:t>按引导</w:t>
      </w:r>
      <w:proofErr w:type="gramEnd"/>
      <w:r>
        <w:rPr>
          <w:rFonts w:ascii="仿宋" w:eastAsia="仿宋" w:hAnsi="仿宋" w:cs="仿宋" w:hint="eastAsia"/>
          <w:bCs/>
          <w:color w:val="000000"/>
          <w:sz w:val="32"/>
          <w:szCs w:val="32"/>
        </w:rPr>
        <w:t>基金要求派员到场参加答辩，否则自行承担不利后果。每个申请机构答辩环节不超过30分钟）；</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（四）管理小组决策。管理小组对经评审会评审的</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管理机构遴选结果进行决策；</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（五）社会公示。南粤基金对管理小组决策通过的</w:t>
      </w:r>
      <w:proofErr w:type="gramStart"/>
      <w:r>
        <w:rPr>
          <w:rFonts w:ascii="仿宋" w:eastAsia="仿宋" w:hAnsi="仿宋" w:cs="仿宋" w:hint="eastAsia"/>
          <w:bCs/>
          <w:color w:val="000000"/>
          <w:sz w:val="32"/>
          <w:szCs w:val="32"/>
        </w:rPr>
        <w:t>子基金</w:t>
      </w:r>
      <w:proofErr w:type="gramEnd"/>
      <w:r>
        <w:rPr>
          <w:rFonts w:ascii="仿宋" w:eastAsia="仿宋" w:hAnsi="仿宋" w:cs="仿宋" w:hint="eastAsia"/>
          <w:bCs/>
          <w:color w:val="000000"/>
          <w:sz w:val="32"/>
          <w:szCs w:val="32"/>
        </w:rPr>
        <w:t>管理机构进行公示，公示期为3日。</w:t>
      </w:r>
    </w:p>
    <w:p w:rsidR="006F0079" w:rsidRDefault="00000000">
      <w:pPr>
        <w:ind w:firstLineChars="200" w:firstLine="627"/>
        <w:rPr>
          <w:rFonts w:ascii="仿宋_GB2312" w:eastAsia="仿宋_GB2312"/>
          <w:spacing w:val="-4"/>
          <w:sz w:val="32"/>
        </w:rPr>
      </w:pPr>
      <w:r>
        <w:rPr>
          <w:rFonts w:ascii="仿宋_GB2312" w:eastAsia="仿宋_GB2312" w:hint="eastAsia"/>
          <w:b/>
          <w:bCs/>
          <w:spacing w:val="-4"/>
          <w:sz w:val="32"/>
        </w:rPr>
        <w:t>八、引导基金申报材料的提交与受理</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（一）请按照《增城区推动经济高质量发展引导基金申报材料》（详见附件）规定的内容提交申报材料。申报材料纸质版一式五份（用A4纸张标准准备），全部提交至：</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公司名：广州南粤基金集团有限公司</w:t>
      </w:r>
    </w:p>
    <w:p w:rsidR="006F0079" w:rsidRPr="00D72C34" w:rsidRDefault="00000000">
      <w:pPr>
        <w:ind w:firstLineChars="200" w:firstLine="640"/>
        <w:rPr>
          <w:rFonts w:ascii="仿宋" w:eastAsia="仿宋" w:hAnsi="仿宋" w:cs="仿宋"/>
          <w:bCs/>
          <w:color w:val="000000"/>
          <w:sz w:val="32"/>
          <w:szCs w:val="32"/>
        </w:rPr>
      </w:pPr>
      <w:r w:rsidRPr="00D72C34">
        <w:rPr>
          <w:rFonts w:ascii="仿宋" w:eastAsia="仿宋" w:hAnsi="仿宋" w:cs="仿宋" w:hint="eastAsia"/>
          <w:bCs/>
          <w:color w:val="000000"/>
          <w:sz w:val="32"/>
          <w:szCs w:val="32"/>
        </w:rPr>
        <w:t>联系人：唐</w:t>
      </w:r>
      <w:r w:rsidR="00D72C34" w:rsidRPr="00D72C34">
        <w:rPr>
          <w:rFonts w:ascii="仿宋" w:eastAsia="仿宋" w:hAnsi="仿宋" w:cs="仿宋" w:hint="eastAsia"/>
          <w:bCs/>
          <w:color w:val="000000"/>
          <w:sz w:val="32"/>
          <w:szCs w:val="32"/>
        </w:rPr>
        <w:t>样</w:t>
      </w:r>
      <w:r w:rsidRPr="00D72C34">
        <w:rPr>
          <w:rFonts w:ascii="仿宋" w:eastAsia="仿宋" w:hAnsi="仿宋" w:cs="仿宋" w:hint="eastAsia"/>
          <w:bCs/>
          <w:color w:val="000000"/>
          <w:sz w:val="32"/>
          <w:szCs w:val="32"/>
        </w:rPr>
        <w:t>，联系电话：18898450956</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地址：广州市增城区碧</w:t>
      </w:r>
      <w:proofErr w:type="gramStart"/>
      <w:r>
        <w:rPr>
          <w:rFonts w:ascii="仿宋" w:eastAsia="仿宋" w:hAnsi="仿宋" w:cs="仿宋" w:hint="eastAsia"/>
          <w:bCs/>
          <w:color w:val="000000"/>
          <w:sz w:val="32"/>
          <w:szCs w:val="32"/>
        </w:rPr>
        <w:t>桂园</w:t>
      </w:r>
      <w:proofErr w:type="gramEnd"/>
      <w:r>
        <w:rPr>
          <w:rFonts w:ascii="仿宋" w:eastAsia="仿宋" w:hAnsi="仿宋" w:cs="仿宋" w:hint="eastAsia"/>
          <w:bCs/>
          <w:color w:val="000000"/>
          <w:sz w:val="32"/>
          <w:szCs w:val="32"/>
        </w:rPr>
        <w:t>中心22楼南粤基金。</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申报材料电子版（word格式及盖章后扫描的pdf格式）请发送至邮箱nyjj_ty@163.com。</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（二）申报材料一经提交，概不退还。</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（三）申报材料的格式要求为：</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lastRenderedPageBreak/>
        <w:t>1、申报材料按本指南及附件要求准备齐全，没有遗漏。</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2、申报材料应按本指南及附件要求填写规范（签名齐全＼盖章齐全＼日期齐全），不能留白，本指南附件与申请机构情况不符合的应直接划掉或填写“不适用”。</w:t>
      </w:r>
    </w:p>
    <w:p w:rsidR="006F0079" w:rsidRPr="00D72C34" w:rsidRDefault="00000000">
      <w:pPr>
        <w:ind w:firstLineChars="200" w:firstLine="640"/>
        <w:rPr>
          <w:rFonts w:ascii="仿宋" w:eastAsia="仿宋" w:hAnsi="仿宋" w:cs="仿宋"/>
          <w:bCs/>
          <w:color w:val="000000"/>
          <w:sz w:val="32"/>
          <w:szCs w:val="32"/>
        </w:rPr>
      </w:pPr>
      <w:r w:rsidRPr="00D72C34">
        <w:rPr>
          <w:rFonts w:ascii="仿宋" w:eastAsia="仿宋" w:hAnsi="仿宋" w:cs="仿宋" w:hint="eastAsia"/>
          <w:bCs/>
          <w:color w:val="000000"/>
          <w:sz w:val="32"/>
          <w:szCs w:val="32"/>
        </w:rPr>
        <w:t>（四）本次申请受理（提交申请资料）时间为2023年</w:t>
      </w:r>
      <w:r w:rsidRPr="00D72C34">
        <w:rPr>
          <w:rFonts w:ascii="仿宋" w:eastAsia="仿宋" w:hAnsi="仿宋" w:cs="仿宋"/>
          <w:bCs/>
          <w:color w:val="000000"/>
          <w:sz w:val="32"/>
          <w:szCs w:val="32"/>
        </w:rPr>
        <w:t>6</w:t>
      </w:r>
      <w:r w:rsidRPr="00D72C34">
        <w:rPr>
          <w:rFonts w:ascii="仿宋" w:eastAsia="仿宋" w:hAnsi="仿宋" w:cs="仿宋" w:hint="eastAsia"/>
          <w:bCs/>
          <w:color w:val="000000"/>
          <w:sz w:val="32"/>
          <w:szCs w:val="32"/>
        </w:rPr>
        <w:t>月</w:t>
      </w:r>
      <w:r w:rsidRPr="00D72C34">
        <w:rPr>
          <w:rFonts w:ascii="仿宋" w:eastAsia="仿宋" w:hAnsi="仿宋" w:cs="仿宋"/>
          <w:bCs/>
          <w:color w:val="000000"/>
          <w:sz w:val="32"/>
          <w:szCs w:val="32"/>
        </w:rPr>
        <w:t>1</w:t>
      </w:r>
      <w:r w:rsidR="00D72C34" w:rsidRPr="00D72C34">
        <w:rPr>
          <w:rFonts w:ascii="仿宋" w:eastAsia="仿宋" w:hAnsi="仿宋" w:cs="仿宋"/>
          <w:bCs/>
          <w:color w:val="000000"/>
          <w:sz w:val="32"/>
          <w:szCs w:val="32"/>
        </w:rPr>
        <w:t>2</w:t>
      </w:r>
      <w:r w:rsidRPr="00D72C34">
        <w:rPr>
          <w:rFonts w:ascii="仿宋" w:eastAsia="仿宋" w:hAnsi="仿宋" w:cs="仿宋" w:hint="eastAsia"/>
          <w:bCs/>
          <w:color w:val="000000"/>
          <w:sz w:val="32"/>
          <w:szCs w:val="32"/>
        </w:rPr>
        <w:t>日24时前。</w:t>
      </w:r>
      <w:r w:rsidRPr="00D72C34">
        <w:rPr>
          <w:rFonts w:ascii="仿宋" w:eastAsia="仿宋" w:hAnsi="仿宋" w:cs="仿宋"/>
          <w:bCs/>
          <w:color w:val="000000"/>
          <w:sz w:val="32"/>
          <w:szCs w:val="32"/>
        </w:rPr>
        <w:t xml:space="preserve"> </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（五）特别说明</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本指南未尽事宜，遵照《管理办法》规定处理。</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南粤基金在法律允许的范围内，对本指南及相关事项具有最终解释权。</w:t>
      </w:r>
    </w:p>
    <w:p w:rsidR="006F0079" w:rsidRDefault="00000000">
      <w:pPr>
        <w:ind w:firstLineChars="200" w:firstLine="640"/>
        <w:rPr>
          <w:rFonts w:ascii="仿宋" w:eastAsia="仿宋" w:hAnsi="仿宋" w:cs="仿宋"/>
          <w:bCs/>
          <w:color w:val="000000"/>
          <w:sz w:val="32"/>
          <w:szCs w:val="32"/>
        </w:rPr>
      </w:pPr>
      <w:r>
        <w:rPr>
          <w:rFonts w:ascii="仿宋" w:eastAsia="仿宋" w:hAnsi="仿宋" w:cs="仿宋" w:hint="eastAsia"/>
          <w:bCs/>
          <w:color w:val="000000"/>
          <w:sz w:val="32"/>
          <w:szCs w:val="32"/>
        </w:rPr>
        <w:t>申请机构应清晰及遵守《管理办法》及本指南的规定。申请机构提交申请即意味接受《管理办法》及本指南的约束。</w:t>
      </w:r>
    </w:p>
    <w:p w:rsidR="006F0079" w:rsidRDefault="006F0079">
      <w:pPr>
        <w:ind w:firstLineChars="200" w:firstLine="624"/>
        <w:rPr>
          <w:rFonts w:ascii="仿宋" w:eastAsia="仿宋" w:hAnsi="仿宋"/>
          <w:spacing w:val="-4"/>
          <w:sz w:val="32"/>
        </w:rPr>
      </w:pPr>
    </w:p>
    <w:p w:rsidR="006F0079" w:rsidRDefault="00000000">
      <w:pPr>
        <w:ind w:firstLineChars="200" w:firstLine="624"/>
        <w:jc w:val="right"/>
        <w:rPr>
          <w:rFonts w:ascii="仿宋" w:eastAsia="仿宋" w:hAnsi="仿宋"/>
          <w:spacing w:val="-4"/>
          <w:sz w:val="32"/>
        </w:rPr>
      </w:pPr>
      <w:r>
        <w:rPr>
          <w:rFonts w:ascii="仿宋" w:eastAsia="仿宋" w:hAnsi="仿宋" w:hint="eastAsia"/>
          <w:spacing w:val="-4"/>
          <w:sz w:val="32"/>
        </w:rPr>
        <w:t>广州南粤基金集团有限公司</w:t>
      </w:r>
    </w:p>
    <w:p w:rsidR="006F0079" w:rsidRPr="00D72C34" w:rsidRDefault="00D72C34">
      <w:pPr>
        <w:ind w:firstLineChars="200" w:firstLine="624"/>
        <w:jc w:val="right"/>
        <w:rPr>
          <w:rFonts w:ascii="仿宋" w:eastAsia="仿宋" w:hAnsi="仿宋"/>
          <w:spacing w:val="-4"/>
          <w:sz w:val="32"/>
        </w:rPr>
      </w:pPr>
      <w:r w:rsidRPr="00D72C34">
        <w:rPr>
          <w:rFonts w:ascii="仿宋" w:eastAsia="仿宋" w:hAnsi="仿宋"/>
          <w:spacing w:val="-4"/>
          <w:sz w:val="32"/>
        </w:rPr>
        <w:t xml:space="preserve"> </w:t>
      </w:r>
      <w:r w:rsidR="00000000" w:rsidRPr="00D72C34">
        <w:rPr>
          <w:rFonts w:ascii="仿宋" w:eastAsia="仿宋" w:hAnsi="仿宋" w:hint="eastAsia"/>
          <w:spacing w:val="-4"/>
          <w:sz w:val="32"/>
        </w:rPr>
        <w:t>年</w:t>
      </w:r>
      <w:r w:rsidRPr="00D72C34">
        <w:rPr>
          <w:rFonts w:ascii="仿宋" w:eastAsia="仿宋" w:hAnsi="仿宋"/>
          <w:spacing w:val="-4"/>
          <w:sz w:val="32"/>
        </w:rPr>
        <w:t xml:space="preserve">  </w:t>
      </w:r>
      <w:r w:rsidR="00000000" w:rsidRPr="00D72C34">
        <w:rPr>
          <w:rFonts w:ascii="仿宋" w:eastAsia="仿宋" w:hAnsi="仿宋" w:hint="eastAsia"/>
          <w:spacing w:val="-4"/>
          <w:sz w:val="32"/>
        </w:rPr>
        <w:t>月</w:t>
      </w:r>
      <w:r w:rsidRPr="00D72C34">
        <w:rPr>
          <w:rFonts w:ascii="仿宋" w:eastAsia="仿宋" w:hAnsi="仿宋"/>
          <w:spacing w:val="-4"/>
          <w:sz w:val="32"/>
        </w:rPr>
        <w:t xml:space="preserve">  </w:t>
      </w:r>
      <w:r w:rsidR="00000000" w:rsidRPr="00D72C34">
        <w:rPr>
          <w:rFonts w:ascii="仿宋" w:eastAsia="仿宋" w:hAnsi="仿宋" w:hint="eastAsia"/>
          <w:spacing w:val="-4"/>
          <w:sz w:val="32"/>
        </w:rPr>
        <w:t>日</w:t>
      </w:r>
    </w:p>
    <w:p w:rsidR="006F0079" w:rsidRDefault="00000000">
      <w:pPr>
        <w:widowControl/>
        <w:jc w:val="left"/>
        <w:rPr>
          <w:rFonts w:ascii="仿宋_GB2312" w:eastAsia="仿宋_GB2312"/>
          <w:spacing w:val="-4"/>
          <w:sz w:val="32"/>
        </w:rPr>
      </w:pPr>
      <w:r>
        <w:rPr>
          <w:rFonts w:ascii="仿宋_GB2312" w:eastAsia="仿宋_GB2312"/>
          <w:spacing w:val="-4"/>
          <w:sz w:val="32"/>
        </w:rPr>
        <w:br w:type="page"/>
      </w:r>
    </w:p>
    <w:p w:rsidR="006F0079" w:rsidRDefault="00000000">
      <w:pPr>
        <w:widowControl/>
        <w:jc w:val="left"/>
        <w:rPr>
          <w:rFonts w:ascii="黑体" w:eastAsia="黑体" w:hAnsi="黑体"/>
          <w:spacing w:val="-4"/>
          <w:sz w:val="32"/>
        </w:rPr>
      </w:pPr>
      <w:r>
        <w:rPr>
          <w:rFonts w:ascii="黑体" w:eastAsia="黑体" w:hAnsi="黑体" w:hint="eastAsia"/>
          <w:spacing w:val="-4"/>
          <w:sz w:val="32"/>
        </w:rPr>
        <w:lastRenderedPageBreak/>
        <w:t>附件</w:t>
      </w:r>
    </w:p>
    <w:p w:rsidR="006F0079" w:rsidRDefault="00000000">
      <w:pPr>
        <w:widowControl/>
        <w:jc w:val="left"/>
        <w:rPr>
          <w:rFonts w:ascii="仿宋_GB2312" w:eastAsia="仿宋_GB2312"/>
          <w:spacing w:val="-4"/>
          <w:sz w:val="32"/>
        </w:rPr>
      </w:pPr>
      <w:r>
        <w:rPr>
          <w:rFonts w:ascii="仿宋_GB2312" w:eastAsia="仿宋_GB2312" w:hint="eastAsia"/>
          <w:spacing w:val="-4"/>
          <w:sz w:val="32"/>
        </w:rPr>
        <w:t>1. 申请机构登记表；</w:t>
      </w:r>
    </w:p>
    <w:p w:rsidR="006F0079" w:rsidRDefault="00000000">
      <w:pPr>
        <w:widowControl/>
        <w:jc w:val="left"/>
        <w:rPr>
          <w:rFonts w:ascii="仿宋_GB2312" w:eastAsia="仿宋_GB2312"/>
          <w:spacing w:val="-4"/>
          <w:sz w:val="32"/>
        </w:rPr>
      </w:pPr>
      <w:r>
        <w:rPr>
          <w:rFonts w:ascii="仿宋_GB2312" w:eastAsia="仿宋_GB2312" w:hint="eastAsia"/>
          <w:spacing w:val="-4"/>
          <w:sz w:val="32"/>
        </w:rPr>
        <w:t>2. 申请机构简介；</w:t>
      </w:r>
    </w:p>
    <w:p w:rsidR="006F0079" w:rsidRDefault="00000000">
      <w:pPr>
        <w:widowControl/>
        <w:jc w:val="left"/>
        <w:rPr>
          <w:rFonts w:ascii="仿宋_GB2312" w:eastAsia="仿宋_GB2312"/>
          <w:spacing w:val="-4"/>
          <w:sz w:val="32"/>
        </w:rPr>
      </w:pPr>
      <w:r>
        <w:rPr>
          <w:rFonts w:ascii="仿宋_GB2312" w:eastAsia="仿宋_GB2312" w:hint="eastAsia"/>
          <w:spacing w:val="-4"/>
          <w:sz w:val="32"/>
        </w:rPr>
        <w:t xml:space="preserve">3. </w:t>
      </w:r>
      <w:proofErr w:type="gramStart"/>
      <w:r>
        <w:rPr>
          <w:rFonts w:ascii="仿宋_GB2312" w:eastAsia="仿宋_GB2312" w:hint="eastAsia"/>
          <w:spacing w:val="-4"/>
          <w:sz w:val="32"/>
        </w:rPr>
        <w:t>子基金</w:t>
      </w:r>
      <w:proofErr w:type="gramEnd"/>
      <w:r>
        <w:rPr>
          <w:rFonts w:ascii="仿宋_GB2312" w:eastAsia="仿宋_GB2312" w:hint="eastAsia"/>
          <w:spacing w:val="-4"/>
          <w:sz w:val="32"/>
        </w:rPr>
        <w:t>设立方案；</w:t>
      </w:r>
    </w:p>
    <w:p w:rsidR="006F0079" w:rsidRDefault="00000000">
      <w:pPr>
        <w:widowControl/>
        <w:jc w:val="left"/>
        <w:rPr>
          <w:rFonts w:ascii="仿宋_GB2312" w:eastAsia="仿宋_GB2312"/>
          <w:spacing w:val="-4"/>
          <w:sz w:val="32"/>
        </w:rPr>
      </w:pPr>
      <w:r>
        <w:rPr>
          <w:rFonts w:ascii="仿宋_GB2312" w:eastAsia="仿宋_GB2312" w:hint="eastAsia"/>
          <w:spacing w:val="-4"/>
          <w:sz w:val="32"/>
        </w:rPr>
        <w:t>4. 储备投资项目列表；</w:t>
      </w:r>
    </w:p>
    <w:p w:rsidR="006F0079" w:rsidRDefault="00000000">
      <w:pPr>
        <w:widowControl/>
        <w:jc w:val="left"/>
        <w:rPr>
          <w:rFonts w:ascii="仿宋_GB2312" w:eastAsia="仿宋_GB2312"/>
          <w:spacing w:val="-4"/>
          <w:sz w:val="32"/>
        </w:rPr>
      </w:pPr>
      <w:r>
        <w:rPr>
          <w:rFonts w:ascii="仿宋_GB2312" w:eastAsia="仿宋_GB2312" w:hint="eastAsia"/>
          <w:spacing w:val="-4"/>
          <w:sz w:val="32"/>
        </w:rPr>
        <w:t>5. 申请机构投资业绩相关证明材料；</w:t>
      </w:r>
    </w:p>
    <w:p w:rsidR="006F0079" w:rsidRDefault="00000000">
      <w:pPr>
        <w:widowControl/>
        <w:jc w:val="left"/>
        <w:rPr>
          <w:rFonts w:ascii="仿宋_GB2312" w:eastAsia="仿宋_GB2312"/>
          <w:spacing w:val="-4"/>
          <w:sz w:val="32"/>
        </w:rPr>
      </w:pPr>
      <w:r>
        <w:rPr>
          <w:rFonts w:ascii="仿宋_GB2312" w:eastAsia="仿宋_GB2312"/>
          <w:spacing w:val="-4"/>
          <w:sz w:val="32"/>
        </w:rPr>
        <w:t>6</w:t>
      </w:r>
      <w:r>
        <w:rPr>
          <w:rFonts w:ascii="仿宋_GB2312" w:eastAsia="仿宋_GB2312" w:hint="eastAsia"/>
          <w:spacing w:val="-4"/>
          <w:sz w:val="32"/>
        </w:rPr>
        <w:t>. 申请机构营业执照复印件（正副本）；</w:t>
      </w:r>
    </w:p>
    <w:p w:rsidR="006F0079" w:rsidRDefault="00000000">
      <w:pPr>
        <w:widowControl/>
        <w:jc w:val="left"/>
        <w:rPr>
          <w:rFonts w:ascii="仿宋_GB2312" w:eastAsia="仿宋_GB2312"/>
          <w:spacing w:val="-4"/>
          <w:sz w:val="32"/>
        </w:rPr>
      </w:pPr>
      <w:r>
        <w:rPr>
          <w:rFonts w:ascii="仿宋_GB2312" w:eastAsia="仿宋_GB2312"/>
          <w:spacing w:val="-4"/>
          <w:sz w:val="32"/>
        </w:rPr>
        <w:t>7</w:t>
      </w:r>
      <w:r>
        <w:rPr>
          <w:rFonts w:ascii="仿宋_GB2312" w:eastAsia="仿宋_GB2312" w:hint="eastAsia"/>
          <w:spacing w:val="-4"/>
          <w:sz w:val="32"/>
        </w:rPr>
        <w:t>. 申请机构章程复印件；</w:t>
      </w:r>
    </w:p>
    <w:p w:rsidR="006F0079" w:rsidRDefault="00000000">
      <w:pPr>
        <w:widowControl/>
        <w:jc w:val="left"/>
        <w:rPr>
          <w:rFonts w:ascii="仿宋_GB2312" w:eastAsia="仿宋_GB2312"/>
          <w:spacing w:val="-4"/>
          <w:sz w:val="32"/>
        </w:rPr>
      </w:pPr>
      <w:r>
        <w:rPr>
          <w:rFonts w:ascii="仿宋_GB2312" w:eastAsia="仿宋_GB2312"/>
          <w:spacing w:val="-4"/>
          <w:sz w:val="32"/>
        </w:rPr>
        <w:t>8</w:t>
      </w:r>
      <w:r>
        <w:rPr>
          <w:rFonts w:ascii="仿宋_GB2312" w:eastAsia="仿宋_GB2312" w:hint="eastAsia"/>
          <w:spacing w:val="-4"/>
          <w:sz w:val="32"/>
        </w:rPr>
        <w:t>. 申请机构最新验资报告复印件；</w:t>
      </w:r>
    </w:p>
    <w:p w:rsidR="006F0079" w:rsidRDefault="00000000">
      <w:pPr>
        <w:widowControl/>
        <w:jc w:val="left"/>
        <w:rPr>
          <w:rFonts w:ascii="仿宋_GB2312" w:eastAsia="仿宋_GB2312"/>
          <w:spacing w:val="-4"/>
          <w:sz w:val="32"/>
        </w:rPr>
      </w:pPr>
      <w:r>
        <w:rPr>
          <w:rFonts w:ascii="仿宋_GB2312" w:eastAsia="仿宋_GB2312"/>
          <w:spacing w:val="-4"/>
          <w:sz w:val="32"/>
        </w:rPr>
        <w:t>9</w:t>
      </w:r>
      <w:r>
        <w:rPr>
          <w:rFonts w:ascii="仿宋_GB2312" w:eastAsia="仿宋_GB2312" w:hint="eastAsia"/>
          <w:spacing w:val="-4"/>
          <w:sz w:val="32"/>
        </w:rPr>
        <w:t>. 申请机构备案证明；</w:t>
      </w:r>
    </w:p>
    <w:p w:rsidR="006F0079" w:rsidRDefault="00000000">
      <w:pPr>
        <w:widowControl/>
        <w:jc w:val="left"/>
        <w:rPr>
          <w:rFonts w:ascii="仿宋_GB2312" w:eastAsia="仿宋_GB2312"/>
          <w:spacing w:val="-4"/>
          <w:sz w:val="32"/>
        </w:rPr>
      </w:pPr>
      <w:r>
        <w:rPr>
          <w:rFonts w:ascii="仿宋_GB2312" w:eastAsia="仿宋_GB2312" w:hint="eastAsia"/>
          <w:spacing w:val="-4"/>
          <w:sz w:val="32"/>
        </w:rPr>
        <w:t>1</w:t>
      </w:r>
      <w:r>
        <w:rPr>
          <w:rFonts w:ascii="仿宋_GB2312" w:eastAsia="仿宋_GB2312"/>
          <w:spacing w:val="-4"/>
          <w:sz w:val="32"/>
        </w:rPr>
        <w:t>0</w:t>
      </w:r>
      <w:r>
        <w:rPr>
          <w:rFonts w:ascii="仿宋_GB2312" w:eastAsia="仿宋_GB2312" w:hint="eastAsia"/>
          <w:spacing w:val="-4"/>
          <w:sz w:val="32"/>
        </w:rPr>
        <w:t>. 申请机构内部制度文件；</w:t>
      </w:r>
    </w:p>
    <w:p w:rsidR="006F0079" w:rsidRDefault="00000000">
      <w:pPr>
        <w:widowControl/>
        <w:jc w:val="left"/>
        <w:rPr>
          <w:rFonts w:ascii="仿宋_GB2312" w:eastAsia="仿宋_GB2312"/>
          <w:spacing w:val="-4"/>
          <w:sz w:val="32"/>
        </w:rPr>
      </w:pPr>
      <w:r>
        <w:rPr>
          <w:rFonts w:ascii="仿宋_GB2312" w:eastAsia="仿宋_GB2312" w:hint="eastAsia"/>
          <w:spacing w:val="-4"/>
          <w:sz w:val="32"/>
        </w:rPr>
        <w:t>1</w:t>
      </w:r>
      <w:r>
        <w:rPr>
          <w:rFonts w:ascii="仿宋_GB2312" w:eastAsia="仿宋_GB2312"/>
          <w:spacing w:val="-4"/>
          <w:sz w:val="32"/>
        </w:rPr>
        <w:t>1</w:t>
      </w:r>
      <w:r>
        <w:rPr>
          <w:rFonts w:ascii="仿宋_GB2312" w:eastAsia="仿宋_GB2312" w:hint="eastAsia"/>
          <w:spacing w:val="-4"/>
          <w:sz w:val="32"/>
        </w:rPr>
        <w:t>. 申请机构最近三年经营情况（表）及审计报告；</w:t>
      </w:r>
    </w:p>
    <w:p w:rsidR="006F0079" w:rsidRDefault="00000000">
      <w:pPr>
        <w:widowControl/>
        <w:jc w:val="left"/>
        <w:rPr>
          <w:rFonts w:ascii="仿宋_GB2312" w:eastAsia="仿宋_GB2312"/>
          <w:spacing w:val="-4"/>
          <w:sz w:val="32"/>
        </w:rPr>
      </w:pPr>
      <w:r>
        <w:rPr>
          <w:rFonts w:ascii="仿宋_GB2312" w:eastAsia="仿宋_GB2312" w:hint="eastAsia"/>
          <w:spacing w:val="-4"/>
          <w:sz w:val="32"/>
        </w:rPr>
        <w:t>1</w:t>
      </w:r>
      <w:r>
        <w:rPr>
          <w:rFonts w:ascii="仿宋_GB2312" w:eastAsia="仿宋_GB2312"/>
          <w:spacing w:val="-4"/>
          <w:sz w:val="32"/>
        </w:rPr>
        <w:t>2</w:t>
      </w:r>
      <w:r>
        <w:rPr>
          <w:rFonts w:ascii="仿宋_GB2312" w:eastAsia="仿宋_GB2312" w:hint="eastAsia"/>
          <w:spacing w:val="-4"/>
          <w:sz w:val="32"/>
        </w:rPr>
        <w:t>. 申请机构有关诉讼或相关风险事项说明；</w:t>
      </w:r>
    </w:p>
    <w:p w:rsidR="006F0079" w:rsidRDefault="00000000">
      <w:pPr>
        <w:widowControl/>
        <w:jc w:val="left"/>
        <w:rPr>
          <w:rFonts w:ascii="仿宋_GB2312" w:eastAsia="仿宋_GB2312"/>
          <w:spacing w:val="-4"/>
          <w:sz w:val="32"/>
        </w:rPr>
      </w:pPr>
      <w:r>
        <w:rPr>
          <w:rFonts w:ascii="仿宋_GB2312" w:eastAsia="仿宋_GB2312" w:hint="eastAsia"/>
          <w:spacing w:val="-4"/>
          <w:sz w:val="32"/>
        </w:rPr>
        <w:t>1</w:t>
      </w:r>
      <w:r>
        <w:rPr>
          <w:rFonts w:ascii="仿宋_GB2312" w:eastAsia="仿宋_GB2312"/>
          <w:spacing w:val="-4"/>
          <w:sz w:val="32"/>
        </w:rPr>
        <w:t>3</w:t>
      </w:r>
      <w:r>
        <w:rPr>
          <w:rFonts w:ascii="仿宋_GB2312" w:eastAsia="仿宋_GB2312" w:hint="eastAsia"/>
          <w:spacing w:val="-4"/>
          <w:sz w:val="32"/>
        </w:rPr>
        <w:t>. 其它需说明事项。</w:t>
      </w:r>
    </w:p>
    <w:p w:rsidR="006F0079" w:rsidRDefault="00000000">
      <w:pPr>
        <w:widowControl/>
        <w:jc w:val="left"/>
        <w:rPr>
          <w:rFonts w:ascii="仿宋_GB2312" w:eastAsia="仿宋_GB2312"/>
          <w:spacing w:val="-4"/>
          <w:sz w:val="32"/>
        </w:rPr>
      </w:pPr>
      <w:r>
        <w:rPr>
          <w:rFonts w:ascii="仿宋_GB2312" w:eastAsia="仿宋_GB2312" w:hint="eastAsia"/>
          <w:spacing w:val="-4"/>
          <w:sz w:val="32"/>
        </w:rPr>
        <w:t>1</w:t>
      </w:r>
      <w:r>
        <w:rPr>
          <w:rFonts w:ascii="仿宋_GB2312" w:eastAsia="仿宋_GB2312"/>
          <w:spacing w:val="-4"/>
          <w:sz w:val="32"/>
        </w:rPr>
        <w:t>4</w:t>
      </w:r>
      <w:r>
        <w:rPr>
          <w:rFonts w:ascii="仿宋_GB2312" w:eastAsia="仿宋_GB2312" w:hint="eastAsia"/>
          <w:spacing w:val="-4"/>
          <w:sz w:val="32"/>
        </w:rPr>
        <w:t>. 名称核准证明</w:t>
      </w:r>
    </w:p>
    <w:sectPr w:rsidR="006F00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C404D" w:rsidRDefault="00CC404D" w:rsidP="00D72C34">
      <w:r>
        <w:separator/>
      </w:r>
    </w:p>
  </w:endnote>
  <w:endnote w:type="continuationSeparator" w:id="0">
    <w:p w:rsidR="00CC404D" w:rsidRDefault="00CC404D" w:rsidP="00D72C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C404D" w:rsidRDefault="00CC404D" w:rsidP="00D72C34">
      <w:r>
        <w:separator/>
      </w:r>
    </w:p>
  </w:footnote>
  <w:footnote w:type="continuationSeparator" w:id="0">
    <w:p w:rsidR="00CC404D" w:rsidRDefault="00CC404D" w:rsidP="00D72C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3E41"/>
    <w:rsid w:val="00012408"/>
    <w:rsid w:val="002C28DD"/>
    <w:rsid w:val="002F782F"/>
    <w:rsid w:val="003424EE"/>
    <w:rsid w:val="004749A8"/>
    <w:rsid w:val="005005BB"/>
    <w:rsid w:val="006F0079"/>
    <w:rsid w:val="007661F9"/>
    <w:rsid w:val="00843CBE"/>
    <w:rsid w:val="008B2683"/>
    <w:rsid w:val="009228DD"/>
    <w:rsid w:val="00BD1495"/>
    <w:rsid w:val="00C43E41"/>
    <w:rsid w:val="00CA3FE6"/>
    <w:rsid w:val="00CC404D"/>
    <w:rsid w:val="00D72C34"/>
    <w:rsid w:val="00E503E8"/>
    <w:rsid w:val="00F855F1"/>
    <w:rsid w:val="2DA15618"/>
    <w:rsid w:val="6FA73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2558D3"/>
  <w15:docId w15:val="{47EAD7B7-F2E3-41A3-8808-39A09FD8E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a5"/>
    <w:pPr>
      <w:tabs>
        <w:tab w:val="center" w:pos="4153"/>
        <w:tab w:val="right" w:pos="8306"/>
      </w:tabs>
      <w:snapToGrid w:val="0"/>
      <w:jc w:val="left"/>
    </w:pPr>
    <w:rPr>
      <w:sz w:val="18"/>
      <w:szCs w:val="18"/>
    </w:rPr>
  </w:style>
  <w:style w:type="paragraph" w:styleId="a6">
    <w:name w:val="header"/>
    <w:basedOn w:val="a"/>
    <w:link w:val="a7"/>
    <w:pPr>
      <w:tabs>
        <w:tab w:val="center" w:pos="4153"/>
        <w:tab w:val="right" w:pos="8306"/>
      </w:tabs>
      <w:snapToGrid w:val="0"/>
      <w:jc w:val="center"/>
    </w:pPr>
    <w:rPr>
      <w:sz w:val="18"/>
      <w:szCs w:val="18"/>
    </w:rPr>
  </w:style>
  <w:style w:type="paragraph" w:styleId="a8">
    <w:name w:val="Normal (Web)"/>
    <w:basedOn w:val="a"/>
    <w:qFormat/>
    <w:pPr>
      <w:spacing w:beforeAutospacing="1" w:afterAutospacing="1"/>
      <w:jc w:val="left"/>
    </w:pPr>
    <w:rPr>
      <w:kern w:val="0"/>
      <w:sz w:val="24"/>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qFormat/>
    <w:rPr>
      <w:color w:val="0000FF"/>
      <w:u w:val="single"/>
    </w:rPr>
  </w:style>
  <w:style w:type="character" w:customStyle="1" w:styleId="a7">
    <w:name w:val="页眉 字符"/>
    <w:basedOn w:val="a0"/>
    <w:link w:val="a6"/>
    <w:rPr>
      <w:rFonts w:cs="宋体"/>
      <w:kern w:val="2"/>
      <w:sz w:val="18"/>
      <w:szCs w:val="18"/>
    </w:rPr>
  </w:style>
  <w:style w:type="character" w:customStyle="1" w:styleId="a5">
    <w:name w:val="页脚 字符"/>
    <w:basedOn w:val="a0"/>
    <w:link w:val="a4"/>
    <w:qFormat/>
    <w:rPr>
      <w:rFonts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13</Pages>
  <Words>840</Words>
  <Characters>4794</Characters>
  <Application>Microsoft Office Word</Application>
  <DocSecurity>0</DocSecurity>
  <Lines>39</Lines>
  <Paragraphs>11</Paragraphs>
  <ScaleCrop>false</ScaleCrop>
  <Company/>
  <LinksUpToDate>false</LinksUpToDate>
  <CharactersWithSpaces>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Shawn</cp:lastModifiedBy>
  <cp:revision>11</cp:revision>
  <dcterms:created xsi:type="dcterms:W3CDTF">2014-10-29T12:08:00Z</dcterms:created>
  <dcterms:modified xsi:type="dcterms:W3CDTF">2023-06-05T01:53:00Z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